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04C" w:rsidRPr="003342C8" w:rsidRDefault="003342C8" w:rsidP="009B45C4">
      <w:pPr>
        <w:ind w:firstLine="567"/>
        <w:jc w:val="both"/>
        <w:rPr>
          <w:sz w:val="28"/>
          <w:szCs w:val="28"/>
        </w:rPr>
      </w:pPr>
      <w:r w:rsidRPr="003342C8">
        <w:rPr>
          <w:sz w:val="28"/>
          <w:szCs w:val="28"/>
        </w:rPr>
        <w:t>Расходы, связанные с осуществлением технологического присоединения, не включаемые в плату за технологическое присоединение (и подлежащих учету (учтенных) в тарифах на услуги по передаче электрической энергии) у ОАО  «Вишневогорский ГОК» отсутствуют.</w:t>
      </w:r>
    </w:p>
    <w:sectPr w:rsidR="0083004C" w:rsidRPr="003342C8" w:rsidSect="00DA3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42C8"/>
    <w:rsid w:val="003342C8"/>
    <w:rsid w:val="0083004C"/>
    <w:rsid w:val="009B45C4"/>
    <w:rsid w:val="00DA3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2017-06-02T10:22:00Z</dcterms:created>
  <dcterms:modified xsi:type="dcterms:W3CDTF">2017-06-02T10:35:00Z</dcterms:modified>
</cp:coreProperties>
</file>